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1979733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8207" cy="638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ind w:right="21"/>
        <w:jc w:val="both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18 декабря 2024 г.                                                                              № 535-т</w:t>
      </w:r>
      <w:r>
        <w:rPr>
          <w:rFonts w:ascii="Liberation Sans" w:hAnsi="Liberation Sans" w:cs="Liberation Sans"/>
        </w:rPr>
      </w:r>
      <w:r/>
    </w:p>
    <w:p>
      <w:pPr>
        <w:pStyle w:val="849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/>
    </w:p>
    <w:p>
      <w:pPr>
        <w:pStyle w:val="850"/>
        <w:ind w:right="228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49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left"/>
        <w:spacing w:before="0" w:after="0"/>
        <w:rPr>
          <w:rFonts w:ascii="Liberation Sans" w:hAnsi="Liberation Sans" w:cs="Liberation Sans"/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8"/>
          <w:szCs w:val="28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Liberation Serif" w:cs="Liberation Sans"/>
          <w:b/>
          <w:bCs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Об установлении </w:t>
      </w: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муниципальному унитарному предприятию муниципального округа Шурышкарский район «Жилфонд»</w:t>
      </w: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cs="Liberation Sans"/>
          <w:b/>
          <w:bCs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тарифов </w:t>
      </w: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на подвоз воды </w:t>
      </w: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для расчетов с потребителями </w:t>
      </w:r>
      <w:r>
        <w:rPr>
          <w:sz w:val="24"/>
          <w:szCs w:val="24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села Восяхово муниципального округа Шурышкарский район </w:t>
      </w:r>
      <w:r>
        <w:rPr>
          <w:rFonts w:ascii="Liberation Sans" w:hAnsi="Liberation Sans" w:cs="Liberation Sans"/>
          <w:b/>
          <w:bCs/>
          <w:sz w:val="24"/>
          <w:szCs w:val="24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cs="Liberation Sans"/>
          <w:b/>
          <w:bCs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на 2025 год</w:t>
      </w:r>
      <w:r>
        <w:rPr>
          <w:sz w:val="24"/>
          <w:szCs w:val="24"/>
        </w:rPr>
      </w:r>
      <w:r/>
    </w:p>
    <w:p>
      <w:pPr>
        <w:ind w:firstLine="540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eastAsia="Liberation Serif" w:cs="Liberation Sans"/>
          <w:b/>
          <w:bCs/>
          <w:sz w:val="24"/>
          <w:szCs w:val="24"/>
        </w:rPr>
      </w:r>
      <w:r>
        <w:rPr>
          <w:sz w:val="24"/>
          <w:szCs w:val="24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В соответствии с Федеральным законом от 07 декабря 2011 года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№ 416-Ф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З </w:t>
        <w:br/>
        <w:t xml:space="preserve">«О водоснабжении и водоотведении»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, 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«О государственном регулировании тарифов в сфере водоснабжения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и водоотведения», </w:t>
      </w:r>
      <w:hyperlink r:id="rId11" w:tooltip="consultantplus://offline/ref=365AED68EC0A6655463CE1D1A489055AE601029C57B406C19C50D6866798E59Dd1E3K" w:history="1">
        <w:r>
          <w:rPr>
            <w:rFonts w:ascii="Liberation Sans" w:hAnsi="Liberation Sans" w:eastAsia="Liberation Serif" w:cs="Liberation Sans"/>
            <w:sz w:val="24"/>
            <w:szCs w:val="24"/>
          </w:rPr>
          <w:t xml:space="preserve">Законом</w:t>
        </w:r>
      </w:hyperlink>
      <w:r>
        <w:rPr>
          <w:rFonts w:ascii="Liberation Sans" w:hAnsi="Liberation Sans" w:eastAsia="Liberation Serif" w:cs="Liberation Sans"/>
          <w:sz w:val="24"/>
          <w:szCs w:val="24"/>
        </w:rPr>
        <w:t xml:space="preserve"> Ямало-Ненецкого автономного округа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01 декабря 2014 года № 107-ЗАО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«Об установлении отдельных категорий потребителей коммунальных ресурсов и коммунальной услуги по обращению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br/>
        <w:t xml:space="preserve">с твердыми коммуна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», постановлением Правительства Ямало-Ненецк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ого автономного округа от 25 декабря 2013 года </w:t>
        <w:br/>
        <w:t xml:space="preserve">№ 1081-П «О департаменте тарифной политики, энергетики и жилищно-коммунального комплекса Ямало-Ненецкого автономного округа»                                              </w:t>
      </w:r>
      <w:r>
        <w:rPr>
          <w:rFonts w:ascii="Liberation Sans" w:hAnsi="Liberation Sans" w:eastAsia="Liberation Serif" w:cs="Liberation Sans"/>
          <w:b/>
          <w:sz w:val="24"/>
          <w:szCs w:val="24"/>
        </w:rPr>
        <w:t xml:space="preserve">п р и к а з ы в а ю:</w:t>
      </w:r>
      <w:r>
        <w:rPr>
          <w:sz w:val="24"/>
          <w:szCs w:val="24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ind w:firstLine="708"/>
        <w:jc w:val="both"/>
        <w:rPr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1. Установить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муниципальному унитарному предприятию муниципального округа Шурышкарский район «Жилфонд»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тарифы на подвоз воды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для расчетов </w:t>
        <w:br/>
        <w:t xml:space="preserve">с потребителями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села Восяхово муниципального округа Шурышкарский район 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2025 год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согласно приложению.</w:t>
      </w:r>
      <w:r>
        <w:rPr>
          <w:sz w:val="24"/>
          <w:szCs w:val="24"/>
        </w:rPr>
      </w:r>
      <w:r/>
    </w:p>
    <w:p>
      <w:pPr>
        <w:ind w:firstLine="708"/>
        <w:jc w:val="both"/>
        <w:rPr>
          <w:rFonts w:ascii="Liberation Sans" w:hAnsi="Liberation Sans" w:cs="Liberation Sans"/>
          <w:b w:val="0"/>
          <w:bCs w:val="0"/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color w:val="000000"/>
          <w:sz w:val="24"/>
          <w:szCs w:val="24"/>
          <w:highlight w:val="none"/>
        </w:rPr>
        <w:t xml:space="preserve">2. </w:t>
      </w:r>
      <w:r>
        <w:rPr>
          <w:sz w:val="24"/>
          <w:szCs w:val="24"/>
        </w:rPr>
      </w:r>
      <w:hyperlink r:id="rId12" w:tooltip="consultantplus://offline/ref=AB0A23BB009D875F70E278ABA137D1EAE0914661EA7CA7DC4DA00334547CA36DC21A434CDEABBAAE3F967D0D0F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4"/>
            <w:szCs w:val="24"/>
          </w:rPr>
          <w:t xml:space="preserve">Тарифы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, установленные в пункте 1 настоящего приказа, действуют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br/>
        <w:t xml:space="preserve">с 01 января 2025 года по 31 декабря 2025 года.</w:t>
      </w:r>
      <w:r>
        <w:rPr>
          <w:sz w:val="24"/>
          <w:szCs w:val="24"/>
          <w:highlight w:val="none"/>
        </w:rPr>
      </w:r>
      <w:r/>
    </w:p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bCs/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-142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bookmarkStart w:id="0" w:name="undefined"/>
      <w:r>
        <w:rPr>
          <w:rFonts w:ascii="Liberation Sans" w:hAnsi="Liberation Sans" w:eastAsia="Liberation Serif" w:cs="Liberation Sans"/>
          <w:bCs/>
          <w:color w:val="000000" w:themeColor="text1"/>
          <w:sz w:val="24"/>
          <w:szCs w:val="24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тарифной </w:t>
      </w:r>
      <w:r>
        <w:rPr>
          <w:sz w:val="24"/>
          <w:szCs w:val="24"/>
        </w:rPr>
      </w:r>
      <w:r/>
    </w:p>
    <w:p>
      <w:pPr>
        <w:ind w:left="-142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политики, энергетики </w:t>
      </w:r>
      <w:r>
        <w:rPr>
          <w:sz w:val="24"/>
          <w:szCs w:val="24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и жилищно-коммунального комплекса </w:t>
      </w:r>
      <w:r>
        <w:rPr>
          <w:sz w:val="24"/>
          <w:szCs w:val="24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color w:val="000000" w:themeColor="text1"/>
          <w:sz w:val="24"/>
          <w:szCs w:val="24"/>
        </w:rPr>
        <w:t xml:space="preserve">          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                                    </w:t>
      </w:r>
      <w:bookmarkEnd w:id="0"/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     Д.Н. Афанасьев</w:t>
      </w:r>
      <w:r>
        <w:rPr>
          <w:sz w:val="24"/>
          <w:szCs w:val="24"/>
        </w:rPr>
      </w:r>
      <w:r/>
    </w:p>
    <w:p>
      <w:pPr>
        <w:rPr>
          <w:rFonts w:ascii="Liberation Sans" w:hAnsi="Liberation Sans" w:cs="Liberation Sans"/>
          <w:bCs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bCs/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</w:t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</w:t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а </w:t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18 декабря 2024 года № 535-т</w:t>
      </w:r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jc w:val="left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jc w:val="center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  <w:highlight w:val="none"/>
        </w:rPr>
        <w:t xml:space="preserve">Тарифы на подвоз воды, установленные муниципальному унитарному предприятию муниципального округа Шурышкарский район «Жилфонд» для расчетов с потребителями села Восяхово муниципального округа Шурышкарский район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jc w:val="center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  <w:highlight w:val="none"/>
        </w:rPr>
        <w:t xml:space="preserve">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  <w:highlight w:val="none"/>
        </w:rPr>
        <w:t xml:space="preserve"> на 2025 год</w:t>
      </w:r>
      <w:r/>
    </w:p>
    <w:p>
      <w:pPr>
        <w:jc w:val="left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0" w:right="-170" w:firstLine="0"/>
        <w:jc w:val="right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Таблица </w:t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7228"/>
        <w:gridCol w:w="659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Потребители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коммунальных ресурсов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Тариф на подвоз воды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7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3570,19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3570,19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</w:r>
            <w:r/>
          </w:p>
        </w:tc>
      </w:tr>
      <w:tr>
        <w:trPr>
          <w:trHeight w:val="7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Потребители, имеющие право на льготные тарифы&lt;*&gt;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63,51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68,84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</w:r>
            <w:r/>
          </w:p>
        </w:tc>
      </w:tr>
      <w:tr>
        <w:trPr>
          <w:trHeight w:val="7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Население&lt;**&gt;,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руб./м3 (включая НДС)&lt;***&gt;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76,21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82,61</w:t>
            </w:r>
            <w:r/>
          </w:p>
        </w:tc>
      </w:tr>
    </w:tbl>
    <w:p>
      <w:pPr>
        <w:ind w:firstLine="54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&lt;*&gt;</w:t>
      </w:r>
      <w:r>
        <w:rPr>
          <w:rFonts w:ascii="Liberation Sans" w:hAnsi="Liberation Sans" w:eastAsia="Liberation Serif" w:cs="Liberation Sans"/>
          <w:color w:val="ff0000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пунктах 2 - 4</w:t>
      </w:r>
      <w:hyperlink r:id="rId13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cs="Liberation Sans"/>
          <w:sz w:val="20"/>
          <w:szCs w:val="20"/>
          <w:highlight w:val="none"/>
        </w:rPr>
        <w:t xml:space="preserve">;</w:t>
      </w:r>
      <w:r>
        <w:rPr>
          <w:rFonts w:ascii="Liberation Sans" w:hAnsi="Liberation Sans" w:cs="Liberation Sans"/>
          <w:sz w:val="20"/>
          <w:szCs w:val="20"/>
        </w:rPr>
      </w:r>
      <w:r/>
    </w:p>
    <w:p>
      <w:pPr>
        <w:ind w:firstLine="54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&lt;**&gt; 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14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комплекса».</w:t>
      </w:r>
      <w:r>
        <w:rPr>
          <w:rFonts w:ascii="Liberation Sans" w:hAnsi="Liberation Sans" w:cs="Liberation Sans"/>
          <w:sz w:val="20"/>
          <w:szCs w:val="20"/>
        </w:rPr>
      </w:r>
      <w:r/>
    </w:p>
    <w:p>
      <w:pPr>
        <w:ind w:firstLine="54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&lt;***&gt; Выделяется в целях реализации </w:t>
      </w:r>
      <w:hyperlink r:id="rId15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sz w:val="20"/>
            <w:szCs w:val="20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sz w:val="20"/>
          <w:szCs w:val="20"/>
        </w:rPr>
        <w:t xml:space="preserve"> Налогового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кодекса Российской Федерации (часть вторая). </w:t>
      </w:r>
      <w:r>
        <w:rPr>
          <w:rFonts w:ascii="Liberation Sans" w:hAnsi="Liberation Sans" w:cs="Liberation Sans"/>
          <w:sz w:val="20"/>
          <w:szCs w:val="20"/>
        </w:rPr>
      </w:r>
      <w:r/>
    </w:p>
    <w:sectPr>
      <w:footnotePr/>
      <w:endnotePr/>
      <w:type w:val="nextPage"/>
      <w:pgSz w:w="16838" w:h="11906" w:orient="landscape"/>
      <w:pgMar w:top="1106" w:right="1134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2">
    <w:name w:val="Heading 1 Char"/>
    <w:basedOn w:val="667"/>
    <w:link w:val="658"/>
    <w:uiPriority w:val="9"/>
    <w:rPr>
      <w:rFonts w:ascii="Arial" w:hAnsi="Arial" w:eastAsia="Arial" w:cs="Arial"/>
      <w:sz w:val="40"/>
      <w:szCs w:val="40"/>
    </w:rPr>
  </w:style>
  <w:style w:type="character" w:styleId="643">
    <w:name w:val="Heading 2 Char"/>
    <w:basedOn w:val="667"/>
    <w:link w:val="659"/>
    <w:uiPriority w:val="9"/>
    <w:rPr>
      <w:rFonts w:ascii="Arial" w:hAnsi="Arial" w:eastAsia="Arial" w:cs="Arial"/>
      <w:sz w:val="34"/>
    </w:rPr>
  </w:style>
  <w:style w:type="character" w:styleId="644">
    <w:name w:val="Heading 3 Char"/>
    <w:basedOn w:val="667"/>
    <w:link w:val="660"/>
    <w:uiPriority w:val="9"/>
    <w:rPr>
      <w:rFonts w:ascii="Arial" w:hAnsi="Arial" w:eastAsia="Arial" w:cs="Arial"/>
      <w:sz w:val="30"/>
      <w:szCs w:val="30"/>
    </w:rPr>
  </w:style>
  <w:style w:type="character" w:styleId="645">
    <w:name w:val="Heading 4 Char"/>
    <w:basedOn w:val="667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646">
    <w:name w:val="Heading 5 Char"/>
    <w:basedOn w:val="667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47">
    <w:name w:val="Heading 6 Char"/>
    <w:basedOn w:val="667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48">
    <w:name w:val="Heading 7 Char"/>
    <w:basedOn w:val="667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8 Char"/>
    <w:basedOn w:val="667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50">
    <w:name w:val="Heading 9 Char"/>
    <w:basedOn w:val="667"/>
    <w:link w:val="666"/>
    <w:uiPriority w:val="9"/>
    <w:rPr>
      <w:rFonts w:ascii="Arial" w:hAnsi="Arial" w:eastAsia="Arial" w:cs="Arial"/>
      <w:i/>
      <w:iCs/>
      <w:sz w:val="21"/>
      <w:szCs w:val="21"/>
    </w:rPr>
  </w:style>
  <w:style w:type="character" w:styleId="651">
    <w:name w:val="Title Char"/>
    <w:basedOn w:val="667"/>
    <w:link w:val="681"/>
    <w:uiPriority w:val="10"/>
    <w:rPr>
      <w:sz w:val="48"/>
      <w:szCs w:val="48"/>
    </w:rPr>
  </w:style>
  <w:style w:type="character" w:styleId="652">
    <w:name w:val="Subtitle Char"/>
    <w:basedOn w:val="667"/>
    <w:link w:val="683"/>
    <w:uiPriority w:val="11"/>
    <w:rPr>
      <w:sz w:val="24"/>
      <w:szCs w:val="24"/>
    </w:rPr>
  </w:style>
  <w:style w:type="character" w:styleId="653">
    <w:name w:val="Quote Char"/>
    <w:link w:val="685"/>
    <w:uiPriority w:val="29"/>
    <w:rPr>
      <w:i/>
    </w:rPr>
  </w:style>
  <w:style w:type="character" w:styleId="654">
    <w:name w:val="Intense Quote Char"/>
    <w:link w:val="687"/>
    <w:uiPriority w:val="30"/>
    <w:rPr>
      <w:i/>
    </w:rPr>
  </w:style>
  <w:style w:type="character" w:styleId="655">
    <w:name w:val="Footnote Text Char"/>
    <w:link w:val="822"/>
    <w:uiPriority w:val="99"/>
    <w:rPr>
      <w:sz w:val="18"/>
    </w:rPr>
  </w:style>
  <w:style w:type="character" w:styleId="656">
    <w:name w:val="Endnote Text Char"/>
    <w:link w:val="825"/>
    <w:uiPriority w:val="99"/>
    <w:rPr>
      <w:sz w:val="20"/>
    </w:rPr>
  </w:style>
  <w:style w:type="paragraph" w:styleId="657" w:default="1">
    <w:name w:val="Normal"/>
    <w:qFormat/>
    <w:rPr>
      <w:lang w:eastAsia="zh-CN"/>
    </w:rPr>
  </w:style>
  <w:style w:type="paragraph" w:styleId="658">
    <w:name w:val="Heading 1"/>
    <w:link w:val="67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59">
    <w:name w:val="Heading 2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60">
    <w:name w:val="Heading 3"/>
    <w:link w:val="6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61">
    <w:name w:val="Heading 4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62">
    <w:name w:val="Heading 5"/>
    <w:link w:val="6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63">
    <w:name w:val="Heading 6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64">
    <w:name w:val="Heading 7"/>
    <w:link w:val="6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65">
    <w:name w:val="Heading 8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66">
    <w:name w:val="Heading 9"/>
    <w:link w:val="6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67" w:default="1">
    <w:name w:val="Default Paragraph Font"/>
    <w:uiPriority w:val="1"/>
    <w:semiHidden/>
    <w:unhideWhenUsed/>
  </w:style>
  <w:style w:type="table" w:styleId="6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9" w:default="1">
    <w:name w:val="No List"/>
    <w:uiPriority w:val="99"/>
    <w:semiHidden/>
    <w:unhideWhenUsed/>
  </w:style>
  <w:style w:type="character" w:styleId="670" w:customStyle="1">
    <w:name w:val="Заголовок 1 Знак"/>
    <w:link w:val="658"/>
    <w:uiPriority w:val="9"/>
    <w:rPr>
      <w:rFonts w:ascii="Arial" w:hAnsi="Arial" w:eastAsia="Arial" w:cs="Arial"/>
      <w:sz w:val="40"/>
      <w:szCs w:val="40"/>
    </w:rPr>
  </w:style>
  <w:style w:type="character" w:styleId="671" w:customStyle="1">
    <w:name w:val="Заголовок 2 Знак"/>
    <w:link w:val="659"/>
    <w:uiPriority w:val="9"/>
    <w:rPr>
      <w:rFonts w:ascii="Arial" w:hAnsi="Arial" w:eastAsia="Arial" w:cs="Arial"/>
      <w:sz w:val="34"/>
    </w:rPr>
  </w:style>
  <w:style w:type="character" w:styleId="672" w:customStyle="1">
    <w:name w:val="Заголовок 3 Знак"/>
    <w:link w:val="660"/>
    <w:uiPriority w:val="9"/>
    <w:rPr>
      <w:rFonts w:ascii="Arial" w:hAnsi="Arial" w:eastAsia="Arial" w:cs="Arial"/>
      <w:sz w:val="30"/>
      <w:szCs w:val="30"/>
    </w:rPr>
  </w:style>
  <w:style w:type="character" w:styleId="673" w:customStyle="1">
    <w:name w:val="Заголовок 4 Знак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674" w:customStyle="1">
    <w:name w:val="Заголовок 5 Знак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75" w:customStyle="1">
    <w:name w:val="Заголовок 6 Знак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76" w:customStyle="1">
    <w:name w:val="Заголовок 7 Знак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7" w:customStyle="1">
    <w:name w:val="Заголовок 8 Знак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78" w:customStyle="1">
    <w:name w:val="Заголовок 9 Знак"/>
    <w:link w:val="666"/>
    <w:uiPriority w:val="9"/>
    <w:rPr>
      <w:rFonts w:ascii="Arial" w:hAnsi="Arial" w:eastAsia="Arial" w:cs="Arial"/>
      <w:i/>
      <w:iCs/>
      <w:sz w:val="21"/>
      <w:szCs w:val="21"/>
    </w:rPr>
  </w:style>
  <w:style w:type="paragraph" w:styleId="679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80">
    <w:name w:val="No Spacing"/>
    <w:uiPriority w:val="1"/>
    <w:qFormat/>
    <w:rPr>
      <w:lang w:eastAsia="zh-CN"/>
    </w:rPr>
  </w:style>
  <w:style w:type="paragraph" w:styleId="681">
    <w:name w:val="Title"/>
    <w:link w:val="682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682" w:customStyle="1">
    <w:name w:val="Название Знак"/>
    <w:link w:val="681"/>
    <w:uiPriority w:val="10"/>
    <w:rPr>
      <w:sz w:val="48"/>
      <w:szCs w:val="48"/>
    </w:rPr>
  </w:style>
  <w:style w:type="paragraph" w:styleId="683">
    <w:name w:val="Subtitle"/>
    <w:link w:val="684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684" w:customStyle="1">
    <w:name w:val="Подзаголовок Знак"/>
    <w:link w:val="683"/>
    <w:uiPriority w:val="11"/>
    <w:rPr>
      <w:sz w:val="24"/>
      <w:szCs w:val="24"/>
    </w:rPr>
  </w:style>
  <w:style w:type="paragraph" w:styleId="685">
    <w:name w:val="Quote"/>
    <w:link w:val="686"/>
    <w:uiPriority w:val="29"/>
    <w:qFormat/>
    <w:pPr>
      <w:ind w:left="720" w:right="720"/>
    </w:pPr>
    <w:rPr>
      <w:i/>
      <w:lang w:eastAsia="zh-CN"/>
    </w:rPr>
  </w:style>
  <w:style w:type="character" w:styleId="686" w:customStyle="1">
    <w:name w:val="Цитата 2 Знак"/>
    <w:link w:val="685"/>
    <w:uiPriority w:val="29"/>
    <w:rPr>
      <w:i/>
    </w:rPr>
  </w:style>
  <w:style w:type="paragraph" w:styleId="687">
    <w:name w:val="Intense Quote"/>
    <w:link w:val="68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88" w:customStyle="1">
    <w:name w:val="Выделенная цитата Знак"/>
    <w:link w:val="687"/>
    <w:uiPriority w:val="30"/>
    <w:rPr>
      <w:i/>
    </w:rPr>
  </w:style>
  <w:style w:type="paragraph" w:styleId="689">
    <w:name w:val="Header"/>
    <w:basedOn w:val="657"/>
    <w:link w:val="845"/>
    <w:pPr>
      <w:tabs>
        <w:tab w:val="center" w:pos="4677" w:leader="none"/>
        <w:tab w:val="right" w:pos="9355" w:leader="none"/>
      </w:tabs>
    </w:pPr>
  </w:style>
  <w:style w:type="character" w:styleId="690" w:customStyle="1">
    <w:name w:val="Header Char"/>
    <w:uiPriority w:val="99"/>
  </w:style>
  <w:style w:type="paragraph" w:styleId="691">
    <w:name w:val="Footer"/>
    <w:basedOn w:val="657"/>
    <w:link w:val="846"/>
    <w:pPr>
      <w:tabs>
        <w:tab w:val="center" w:pos="4677" w:leader="none"/>
        <w:tab w:val="right" w:pos="9355" w:leader="none"/>
      </w:tabs>
    </w:pPr>
  </w:style>
  <w:style w:type="character" w:styleId="692" w:customStyle="1">
    <w:name w:val="Footer Char"/>
    <w:uiPriority w:val="99"/>
  </w:style>
  <w:style w:type="paragraph" w:styleId="693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694" w:customStyle="1">
    <w:name w:val="Caption Char"/>
    <w:uiPriority w:val="99"/>
  </w:style>
  <w:style w:type="table" w:styleId="695">
    <w:name w:val="Table Grid"/>
    <w:basedOn w:val="668"/>
    <w:tblPr/>
  </w:style>
  <w:style w:type="table" w:styleId="69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3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1">
    <w:name w:val="Hyperlink"/>
    <w:uiPriority w:val="99"/>
    <w:unhideWhenUsed/>
    <w:rPr>
      <w:color w:val="0000ff"/>
      <w:u w:val="single"/>
    </w:rPr>
  </w:style>
  <w:style w:type="paragraph" w:styleId="822">
    <w:name w:val="footnote text"/>
    <w:link w:val="823"/>
    <w:uiPriority w:val="99"/>
    <w:semiHidden/>
    <w:unhideWhenUsed/>
    <w:pPr>
      <w:spacing w:after="40"/>
    </w:pPr>
    <w:rPr>
      <w:sz w:val="18"/>
      <w:lang w:eastAsia="zh-CN"/>
    </w:rPr>
  </w:style>
  <w:style w:type="character" w:styleId="823" w:customStyle="1">
    <w:name w:val="Текст сноски Знак"/>
    <w:link w:val="822"/>
    <w:uiPriority w:val="99"/>
    <w:rPr>
      <w:sz w:val="18"/>
    </w:rPr>
  </w:style>
  <w:style w:type="character" w:styleId="824">
    <w:name w:val="footnote reference"/>
    <w:uiPriority w:val="99"/>
    <w:unhideWhenUsed/>
    <w:rPr>
      <w:vertAlign w:val="superscript"/>
    </w:rPr>
  </w:style>
  <w:style w:type="paragraph" w:styleId="825">
    <w:name w:val="endnote text"/>
    <w:link w:val="826"/>
    <w:uiPriority w:val="99"/>
    <w:semiHidden/>
    <w:unhideWhenUsed/>
    <w:rPr>
      <w:lang w:eastAsia="zh-CN"/>
    </w:rPr>
  </w:style>
  <w:style w:type="character" w:styleId="826" w:customStyle="1">
    <w:name w:val="Текст концевой сноски Знак"/>
    <w:link w:val="825"/>
    <w:uiPriority w:val="99"/>
    <w:rPr>
      <w:sz w:val="20"/>
    </w:rPr>
  </w:style>
  <w:style w:type="character" w:styleId="827">
    <w:name w:val="endnote reference"/>
    <w:uiPriority w:val="99"/>
    <w:semiHidden/>
    <w:unhideWhenUsed/>
    <w:rPr>
      <w:vertAlign w:val="superscript"/>
    </w:rPr>
  </w:style>
  <w:style w:type="paragraph" w:styleId="828">
    <w:name w:val="toc 1"/>
    <w:uiPriority w:val="39"/>
    <w:unhideWhenUsed/>
    <w:pPr>
      <w:spacing w:after="57"/>
    </w:pPr>
    <w:rPr>
      <w:lang w:eastAsia="zh-CN"/>
    </w:rPr>
  </w:style>
  <w:style w:type="paragraph" w:styleId="829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30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31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32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33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34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35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36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37">
    <w:name w:val="TOC Heading"/>
    <w:uiPriority w:val="39"/>
    <w:unhideWhenUsed/>
    <w:rPr>
      <w:lang w:eastAsia="zh-CN"/>
    </w:rPr>
  </w:style>
  <w:style w:type="paragraph" w:styleId="838">
    <w:name w:val="table of figures"/>
    <w:uiPriority w:val="99"/>
    <w:unhideWhenUsed/>
    <w:rPr>
      <w:lang w:eastAsia="zh-CN"/>
    </w:rPr>
  </w:style>
  <w:style w:type="paragraph" w:styleId="839" w:customStyle="1">
    <w:name w:val="Знак Знак Знак Знак"/>
    <w:basedOn w:val="657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40" w:customStyle="1">
    <w:name w:val="ConsPlusNormal"/>
    <w:pPr>
      <w:ind w:firstLine="720"/>
    </w:pPr>
    <w:rPr>
      <w:rFonts w:ascii="Arial" w:hAnsi="Arial"/>
    </w:rPr>
  </w:style>
  <w:style w:type="paragraph" w:styleId="841" w:customStyle="1">
    <w:name w:val="ConsPlusCell"/>
    <w:pPr>
      <w:widowControl w:val="off"/>
    </w:pPr>
    <w:rPr>
      <w:rFonts w:ascii="Arial" w:hAnsi="Arial"/>
    </w:rPr>
  </w:style>
  <w:style w:type="paragraph" w:styleId="842">
    <w:name w:val="Body Text Indent 2"/>
    <w:basedOn w:val="657"/>
    <w:link w:val="844"/>
    <w:pPr>
      <w:ind w:firstLine="720"/>
      <w:jc w:val="both"/>
    </w:pPr>
    <w:rPr>
      <w:sz w:val="28"/>
    </w:rPr>
  </w:style>
  <w:style w:type="paragraph" w:styleId="843" w:customStyle="1">
    <w:name w:val="ConsPlusNonformat"/>
    <w:rPr>
      <w:rFonts w:ascii="Courier New" w:hAnsi="Courier New"/>
    </w:rPr>
  </w:style>
  <w:style w:type="character" w:styleId="844" w:customStyle="1">
    <w:name w:val="Основной текст с отступом 2 Знак"/>
    <w:link w:val="842"/>
    <w:rPr>
      <w:sz w:val="28"/>
      <w:szCs w:val="24"/>
    </w:rPr>
  </w:style>
  <w:style w:type="character" w:styleId="845" w:customStyle="1">
    <w:name w:val="Верхний колонтитул Знак"/>
    <w:link w:val="689"/>
    <w:rPr>
      <w:sz w:val="24"/>
      <w:szCs w:val="24"/>
    </w:rPr>
  </w:style>
  <w:style w:type="character" w:styleId="846" w:customStyle="1">
    <w:name w:val="Нижний колонтитул Знак"/>
    <w:link w:val="691"/>
    <w:rPr>
      <w:sz w:val="24"/>
      <w:szCs w:val="24"/>
    </w:rPr>
  </w:style>
  <w:style w:type="paragraph" w:styleId="847">
    <w:name w:val="Balloon Text"/>
    <w:basedOn w:val="657"/>
    <w:link w:val="848"/>
    <w:rPr>
      <w:rFonts w:ascii="Tahoma" w:hAnsi="Tahoma"/>
      <w:sz w:val="16"/>
      <w:szCs w:val="16"/>
    </w:rPr>
  </w:style>
  <w:style w:type="character" w:styleId="848" w:customStyle="1">
    <w:name w:val="Текст выноски Знак"/>
    <w:link w:val="847"/>
    <w:rPr>
      <w:rFonts w:ascii="Tahoma" w:hAnsi="Tahoma"/>
      <w:sz w:val="16"/>
      <w:szCs w:val="16"/>
    </w:rPr>
  </w:style>
  <w:style w:type="paragraph" w:styleId="849" w:customStyle="1">
    <w:name w:val="Обычный"/>
    <w:next w:val="830"/>
    <w:link w:val="83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0" w:customStyle="1">
    <w:name w:val="Основной текст с отступом 2"/>
    <w:basedOn w:val="849"/>
    <w:next w:val="838"/>
    <w:link w:val="840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365AED68EC0A6655463CE1D1A489055AE601029C57B406C19C50D6866798E59Dd1E3K" TargetMode="External"/><Relationship Id="rId12" Type="http://schemas.openxmlformats.org/officeDocument/2006/relationships/hyperlink" Target="consultantplus://offline/ref=AB0A23BB009D875F70E278ABA137D1EAE0914661EA7CA7DC4DA00334547CA36DC21A434CDEABBAAE3F967D0D0F7E283638FF83CB8743443A5A96156Dj8w6K" TargetMode="External"/><Relationship Id="rId13" Type="http://schemas.openxmlformats.org/officeDocument/2006/relationships/hyperlink" Target="consultantplus://offline/ref=BC4FDCB53AB2EC8B14B6B3AE8120CF99E618AD28C81A94C69A1C057EC095CEE9BB73B2CF9B88F0D7DA4765HEQ0F" TargetMode="External"/><Relationship Id="rId14" Type="http://schemas.openxmlformats.org/officeDocument/2006/relationships/hyperlink" Target="consultantplus://offline/ref=BC4FDCB53AB2EC8B14B6B3AE8120CF99E618AD28C81A94C69A1C057EC095CEE9BB73B2CF9B88F0D7DA4765HEQFF" TargetMode="External"/><Relationship Id="rId15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 Спиркин</dc:creator>
  <cp:revision>26</cp:revision>
  <dcterms:created xsi:type="dcterms:W3CDTF">2022-11-18T04:47:00Z</dcterms:created>
  <dcterms:modified xsi:type="dcterms:W3CDTF">2024-12-17T10:11:51Z</dcterms:modified>
</cp:coreProperties>
</file>